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9F5C" w14:textId="0B325B20" w:rsidR="00E56EF4" w:rsidRDefault="00E56EF4" w:rsidP="00E56EF4">
      <w:pPr>
        <w:pStyle w:val="TOCHeading"/>
        <w:spacing w:before="120"/>
      </w:pPr>
      <w:r w:rsidRPr="00E56E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A1CD" wp14:editId="7031105E">
                <wp:simplePos x="0" y="0"/>
                <wp:positionH relativeFrom="page">
                  <wp:posOffset>-114300</wp:posOffset>
                </wp:positionH>
                <wp:positionV relativeFrom="paragraph">
                  <wp:posOffset>133985</wp:posOffset>
                </wp:positionV>
                <wp:extent cx="7772400" cy="723900"/>
                <wp:effectExtent l="0" t="0" r="0" b="0"/>
                <wp:wrapNone/>
                <wp:docPr id="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723900"/>
                        </a:xfrm>
                        <a:prstGeom prst="rect">
                          <a:avLst/>
                        </a:prstGeom>
                        <a:solidFill>
                          <a:srgbClr val="0470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6B1E8" w14:textId="4BF869F1" w:rsidR="00E56EF4" w:rsidRPr="00E56EF4" w:rsidRDefault="00CE74F9" w:rsidP="00CE74F9">
                            <w:pPr>
                              <w:pStyle w:val="Subtitl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E56EF4">
                              <w:rPr>
                                <w:color w:val="FFFFFF" w:themeColor="background1"/>
                              </w:rPr>
                              <w:t>BJA FY25 Student, Teachers, and Officers Preventing (STOP) School Violence Program</w:t>
                            </w:r>
                          </w:p>
                          <w:sdt>
                            <w:sdtPr>
                              <w:alias w:val="Title"/>
                              <w:tag w:val=""/>
                              <w:id w:val="-84485945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113CFFF" w14:textId="77777777" w:rsidR="00E56EF4" w:rsidRPr="009852EF" w:rsidRDefault="00E56EF4" w:rsidP="00E56EF4">
                                <w:pPr>
                                  <w:pStyle w:val="Title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4A1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0.55pt;width:612pt;height:5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" fillcolor="#04703c" stroked="f" strokeweight=".5pt">
                <v:textbox inset=",7.2pt,,7.2pt">
                  <w:txbxContent>
                    <w:p w14:paraId="36F6B1E8" w14:textId="4BF869F1" w:rsidR="00E56EF4" w:rsidRPr="00E56EF4" w:rsidRDefault="00CE74F9" w:rsidP="00CE74F9">
                      <w:pPr>
                        <w:pStyle w:val="Subtitl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E56EF4">
                        <w:rPr>
                          <w:color w:val="FFFFFF" w:themeColor="background1"/>
                        </w:rPr>
                        <w:t>BJA FY25 Student, Teachers, and Officers Preventing (STOP) School Violence Program</w:t>
                      </w:r>
                    </w:p>
                    <w:sdt>
                      <w:sdtPr>
                        <w:alias w:val="Title"/>
                        <w:tag w:val=""/>
                        <w:id w:val="-84485945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113CFFF" w14:textId="77777777" w:rsidR="00E56EF4" w:rsidRPr="009852EF" w:rsidRDefault="00E56EF4" w:rsidP="00E56EF4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</w:p>
    <w:p w14:paraId="38FAD66E" w14:textId="77777777" w:rsidR="00E56EF4" w:rsidRDefault="00E56EF4" w:rsidP="00E56EF4">
      <w:pPr>
        <w:pStyle w:val="TOCHeading"/>
        <w:spacing w:before="120"/>
      </w:pPr>
    </w:p>
    <w:p w14:paraId="227D24A0" w14:textId="77777777" w:rsidR="00E56EF4" w:rsidRDefault="00E56EF4" w:rsidP="00E56EF4">
      <w:pPr>
        <w:pStyle w:val="TOCHeading"/>
        <w:spacing w:before="120"/>
      </w:pPr>
    </w:p>
    <w:p w14:paraId="1D7F2FF1" w14:textId="4BB2128B" w:rsidR="00E56EF4" w:rsidRPr="00E56EF4" w:rsidRDefault="00E56EF4" w:rsidP="00CE74F9">
      <w:pPr>
        <w:pStyle w:val="TOCHeading"/>
        <w:spacing w:before="120"/>
        <w:rPr>
          <w:color w:val="04703C"/>
        </w:rPr>
      </w:pPr>
      <w:r w:rsidRPr="00E56EF4">
        <w:rPr>
          <w:color w:val="04703C"/>
        </w:rPr>
        <w:t>Overview</w:t>
      </w:r>
    </w:p>
    <w:p w14:paraId="5BB7A2B2" w14:textId="1361CC1C" w:rsidR="00E56EF4" w:rsidRPr="000E5331" w:rsidRDefault="00E56EF4" w:rsidP="000E5331"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0E5331">
        <w:rPr>
          <w:rFonts w:ascii="Times New Roman" w:hAnsi="Times New Roman" w:cs="Times New Roman"/>
          <w:sz w:val="24"/>
          <w:szCs w:val="24"/>
        </w:rPr>
        <w:t>The purpose of this</w:t>
      </w:r>
      <w:r w:rsidR="00754F21" w:rsidRPr="000E5331">
        <w:rPr>
          <w:rFonts w:ascii="Times New Roman" w:hAnsi="Times New Roman" w:cs="Times New Roman"/>
          <w:sz w:val="24"/>
          <w:szCs w:val="24"/>
        </w:rPr>
        <w:t xml:space="preserve"> document is to help guide your project’s team in gathering data to d</w:t>
      </w:r>
      <w:r w:rsidRPr="000E5331">
        <w:rPr>
          <w:rFonts w:ascii="Times New Roman" w:hAnsi="Times New Roman" w:cs="Times New Roman"/>
          <w:sz w:val="24"/>
          <w:szCs w:val="24"/>
        </w:rPr>
        <w:t>emonstrate a compelling need for the applicant, and to inform the project design and activities.</w:t>
      </w:r>
      <w:r w:rsidR="00754F21" w:rsidRPr="000E5331">
        <w:rPr>
          <w:rFonts w:ascii="Times New Roman" w:hAnsi="Times New Roman" w:cs="Times New Roman"/>
          <w:sz w:val="24"/>
          <w:szCs w:val="24"/>
        </w:rPr>
        <w:t xml:space="preserve"> </w:t>
      </w:r>
      <w:r w:rsidR="00635991" w:rsidRPr="000E5331">
        <w:rPr>
          <w:rFonts w:ascii="Times New Roman" w:hAnsi="Times New Roman" w:cs="Times New Roman"/>
          <w:sz w:val="24"/>
          <w:szCs w:val="24"/>
        </w:rPr>
        <w:t xml:space="preserve">Sources for this data may include district and school data, </w:t>
      </w:r>
      <w:r w:rsidR="005C5096" w:rsidRPr="000E5331">
        <w:rPr>
          <w:rFonts w:ascii="Times New Roman" w:hAnsi="Times New Roman" w:cs="Times New Roman"/>
          <w:sz w:val="24"/>
          <w:szCs w:val="24"/>
        </w:rPr>
        <w:t>y</w:t>
      </w:r>
      <w:r w:rsidR="00635991" w:rsidRPr="000E5331">
        <w:rPr>
          <w:rFonts w:ascii="Times New Roman" w:hAnsi="Times New Roman" w:cs="Times New Roman"/>
          <w:sz w:val="24"/>
          <w:szCs w:val="24"/>
        </w:rPr>
        <w:t>outh risk behavior surveys, parent and staff surveys, community health needs assessments</w:t>
      </w:r>
      <w:r w:rsidR="00AB6B93" w:rsidRPr="000E5331">
        <w:rPr>
          <w:rFonts w:ascii="Times New Roman" w:hAnsi="Times New Roman" w:cs="Times New Roman"/>
          <w:sz w:val="24"/>
          <w:szCs w:val="24"/>
        </w:rPr>
        <w:t>, and the U.S. Census Bureau</w:t>
      </w:r>
      <w:r w:rsidR="00635991" w:rsidRPr="000E5331">
        <w:rPr>
          <w:rFonts w:ascii="Times New Roman" w:hAnsi="Times New Roman" w:cs="Times New Roman"/>
          <w:sz w:val="24"/>
          <w:szCs w:val="24"/>
        </w:rPr>
        <w:t>.</w:t>
      </w:r>
    </w:p>
    <w:p w14:paraId="4BB96791" w14:textId="4E2206B3" w:rsidR="00E56EF4" w:rsidRPr="0038643B" w:rsidRDefault="0038643B" w:rsidP="000E5331">
      <w:pPr>
        <w:pStyle w:val="TOCHeading"/>
        <w:spacing w:before="0" w:after="0"/>
        <w:rPr>
          <w:color w:val="04703C"/>
        </w:rPr>
      </w:pPr>
      <w:r>
        <w:rPr>
          <w:color w:val="04703C"/>
        </w:rPr>
        <w:t xml:space="preserve">Data </w:t>
      </w:r>
      <w:r w:rsidR="00CE74F9">
        <w:rPr>
          <w:color w:val="04703C"/>
        </w:rPr>
        <w:t xml:space="preserve">and Information Request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72"/>
        <w:gridCol w:w="3253"/>
      </w:tblGrid>
      <w:tr w:rsidR="0038643B" w:rsidRPr="000E5331" w14:paraId="098A6A0B" w14:textId="77777777" w:rsidTr="0038643B">
        <w:trPr>
          <w:trHeight w:val="300"/>
        </w:trPr>
        <w:tc>
          <w:tcPr>
            <w:tcW w:w="5472" w:type="dxa"/>
            <w:shd w:val="clear" w:color="auto" w:fill="04703C"/>
          </w:tcPr>
          <w:p w14:paraId="22C6F015" w14:textId="631B69CD" w:rsidR="00E56EF4" w:rsidRPr="000E5331" w:rsidRDefault="0038643B" w:rsidP="0093074D">
            <w:pPr>
              <w:pStyle w:val="BodyText"/>
              <w:ind w:left="0"/>
              <w:rPr>
                <w:b/>
                <w:bCs/>
                <w:color w:val="FFFFFF" w:themeColor="background1"/>
              </w:rPr>
            </w:pPr>
            <w:r w:rsidRPr="000E5331">
              <w:rPr>
                <w:b/>
                <w:bCs/>
                <w:color w:val="FFFFFF" w:themeColor="background1"/>
              </w:rPr>
              <w:t xml:space="preserve">Data Points </w:t>
            </w:r>
          </w:p>
        </w:tc>
        <w:tc>
          <w:tcPr>
            <w:tcW w:w="3253" w:type="dxa"/>
            <w:shd w:val="clear" w:color="auto" w:fill="04703C"/>
          </w:tcPr>
          <w:p w14:paraId="44F51744" w14:textId="65A1AE98" w:rsidR="00E56EF4" w:rsidRPr="000E5331" w:rsidRDefault="00E56EF4" w:rsidP="0093074D">
            <w:pPr>
              <w:pStyle w:val="BodyText"/>
              <w:rPr>
                <w:b/>
                <w:bCs/>
                <w:color w:val="FFFFFF" w:themeColor="background1"/>
              </w:rPr>
            </w:pPr>
          </w:p>
        </w:tc>
      </w:tr>
      <w:tr w:rsidR="00635991" w:rsidRPr="000E5331" w14:paraId="5211A170" w14:textId="77777777" w:rsidTr="0038643B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221D9E6D" w14:textId="4040215F" w:rsidR="00635991" w:rsidRPr="000E5331" w:rsidRDefault="00635991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Student Demographics </w:t>
            </w:r>
            <w:r w:rsidR="00754F21" w:rsidRPr="000E5331">
              <w:t>(Number and Percentage)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655391EA" w14:textId="77777777" w:rsidR="00635991" w:rsidRPr="000E5331" w:rsidRDefault="00635991" w:rsidP="0093074D">
            <w:pPr>
              <w:pStyle w:val="BodyText"/>
              <w:rPr>
                <w:b/>
                <w:bCs/>
              </w:rPr>
            </w:pPr>
          </w:p>
        </w:tc>
      </w:tr>
      <w:tr w:rsidR="00754F21" w:rsidRPr="000E5331" w14:paraId="769956FC" w14:textId="77777777" w:rsidTr="0093074D">
        <w:trPr>
          <w:trHeight w:val="300"/>
        </w:trPr>
        <w:tc>
          <w:tcPr>
            <w:tcW w:w="5472" w:type="dxa"/>
          </w:tcPr>
          <w:p w14:paraId="36810D69" w14:textId="080AB692" w:rsidR="00754F21" w:rsidRPr="000E5331" w:rsidRDefault="00754F21" w:rsidP="0093074D">
            <w:pPr>
              <w:pStyle w:val="BodyText"/>
              <w:ind w:left="0"/>
            </w:pPr>
            <w:r w:rsidRPr="000E5331">
              <w:t xml:space="preserve">Student enrollment (district, building)  </w:t>
            </w:r>
          </w:p>
        </w:tc>
        <w:tc>
          <w:tcPr>
            <w:tcW w:w="3253" w:type="dxa"/>
          </w:tcPr>
          <w:p w14:paraId="0FEC482B" w14:textId="77777777" w:rsidR="00754F21" w:rsidRPr="000E5331" w:rsidRDefault="00754F21" w:rsidP="0093074D">
            <w:pPr>
              <w:pStyle w:val="BodyText"/>
              <w:rPr>
                <w:b/>
                <w:bCs/>
              </w:rPr>
            </w:pPr>
          </w:p>
        </w:tc>
      </w:tr>
      <w:tr w:rsidR="00754F21" w:rsidRPr="000E5331" w14:paraId="2428DA86" w14:textId="77777777" w:rsidTr="0093074D">
        <w:trPr>
          <w:trHeight w:val="300"/>
        </w:trPr>
        <w:tc>
          <w:tcPr>
            <w:tcW w:w="5472" w:type="dxa"/>
          </w:tcPr>
          <w:p w14:paraId="66584A45" w14:textId="04772A33" w:rsidR="00754F21" w:rsidRPr="000E5331" w:rsidRDefault="00754F21" w:rsidP="0093074D">
            <w:pPr>
              <w:pStyle w:val="BodyText"/>
              <w:ind w:left="0"/>
            </w:pPr>
            <w:r w:rsidRPr="000E5331">
              <w:t xml:space="preserve">Students qualifying for free and reduced lunch </w:t>
            </w:r>
          </w:p>
        </w:tc>
        <w:tc>
          <w:tcPr>
            <w:tcW w:w="3253" w:type="dxa"/>
          </w:tcPr>
          <w:p w14:paraId="6426160D" w14:textId="77777777" w:rsidR="00754F21" w:rsidRPr="000E5331" w:rsidRDefault="00754F21" w:rsidP="0093074D">
            <w:pPr>
              <w:pStyle w:val="BodyText"/>
              <w:rPr>
                <w:b/>
                <w:bCs/>
              </w:rPr>
            </w:pPr>
          </w:p>
        </w:tc>
      </w:tr>
      <w:tr w:rsidR="00635991" w:rsidRPr="000E5331" w14:paraId="439E773F" w14:textId="77777777" w:rsidTr="0093074D">
        <w:trPr>
          <w:trHeight w:val="300"/>
        </w:trPr>
        <w:tc>
          <w:tcPr>
            <w:tcW w:w="5472" w:type="dxa"/>
          </w:tcPr>
          <w:p w14:paraId="60C17B52" w14:textId="3CDC813C" w:rsidR="00635991" w:rsidRPr="000E5331" w:rsidRDefault="00754F21" w:rsidP="0093074D">
            <w:pPr>
              <w:pStyle w:val="BodyText"/>
              <w:ind w:left="0"/>
            </w:pPr>
            <w:r w:rsidRPr="000E5331">
              <w:t>Students who are English Language Learners (ELL)</w:t>
            </w:r>
          </w:p>
        </w:tc>
        <w:tc>
          <w:tcPr>
            <w:tcW w:w="3253" w:type="dxa"/>
          </w:tcPr>
          <w:p w14:paraId="79A4D579" w14:textId="77777777" w:rsidR="00635991" w:rsidRPr="000E5331" w:rsidRDefault="00635991" w:rsidP="0093074D">
            <w:pPr>
              <w:pStyle w:val="BodyText"/>
            </w:pPr>
          </w:p>
        </w:tc>
      </w:tr>
      <w:tr w:rsidR="00635991" w:rsidRPr="000E5331" w14:paraId="4AA5DBE6" w14:textId="77777777" w:rsidTr="0093074D">
        <w:trPr>
          <w:trHeight w:val="300"/>
        </w:trPr>
        <w:tc>
          <w:tcPr>
            <w:tcW w:w="5472" w:type="dxa"/>
          </w:tcPr>
          <w:p w14:paraId="695560B6" w14:textId="613059F3" w:rsidR="00635991" w:rsidRPr="000E5331" w:rsidRDefault="00754F21" w:rsidP="0093074D">
            <w:pPr>
              <w:pStyle w:val="BodyText"/>
              <w:ind w:left="0"/>
            </w:pPr>
            <w:r w:rsidRPr="000E5331">
              <w:t>Students with an Individualized Education Program (IEP)</w:t>
            </w:r>
          </w:p>
        </w:tc>
        <w:tc>
          <w:tcPr>
            <w:tcW w:w="3253" w:type="dxa"/>
          </w:tcPr>
          <w:p w14:paraId="0B6C091A" w14:textId="77777777" w:rsidR="00635991" w:rsidRPr="000E5331" w:rsidRDefault="00635991" w:rsidP="0093074D">
            <w:pPr>
              <w:pStyle w:val="BodyText"/>
            </w:pPr>
          </w:p>
        </w:tc>
      </w:tr>
      <w:tr w:rsidR="0038643B" w:rsidRPr="000E5331" w14:paraId="213F2A3D" w14:textId="77777777" w:rsidTr="0038643B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50DAD69F" w14:textId="4A95C79A" w:rsidR="0038643B" w:rsidRPr="000E5331" w:rsidRDefault="0038643B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Academic Performance 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76687AE2" w14:textId="77777777" w:rsidR="0038643B" w:rsidRPr="000E5331" w:rsidRDefault="0038643B" w:rsidP="0093074D">
            <w:pPr>
              <w:pStyle w:val="BodyText"/>
              <w:rPr>
                <w:b/>
                <w:bCs/>
              </w:rPr>
            </w:pPr>
          </w:p>
        </w:tc>
      </w:tr>
      <w:tr w:rsidR="0038643B" w:rsidRPr="000E5331" w14:paraId="28C5534A" w14:textId="77777777" w:rsidTr="0093074D">
        <w:trPr>
          <w:trHeight w:val="300"/>
        </w:trPr>
        <w:tc>
          <w:tcPr>
            <w:tcW w:w="5472" w:type="dxa"/>
          </w:tcPr>
          <w:p w14:paraId="74B449CD" w14:textId="4D18D55A" w:rsidR="0038643B" w:rsidRPr="000E5331" w:rsidRDefault="0038643B" w:rsidP="0093074D">
            <w:pPr>
              <w:pStyle w:val="BodyText"/>
              <w:ind w:left="0"/>
            </w:pPr>
            <w:r w:rsidRPr="000E5331">
              <w:t xml:space="preserve">Percentage performing below proficiency level in core subjects (district, school, grade) </w:t>
            </w:r>
          </w:p>
        </w:tc>
        <w:tc>
          <w:tcPr>
            <w:tcW w:w="3253" w:type="dxa"/>
          </w:tcPr>
          <w:p w14:paraId="438036DB" w14:textId="77777777" w:rsidR="0038643B" w:rsidRPr="000E5331" w:rsidRDefault="0038643B" w:rsidP="0093074D">
            <w:pPr>
              <w:pStyle w:val="BodyText"/>
            </w:pPr>
          </w:p>
        </w:tc>
      </w:tr>
      <w:tr w:rsidR="0038643B" w:rsidRPr="000E5331" w14:paraId="57DA1707" w14:textId="77777777" w:rsidTr="0093074D">
        <w:trPr>
          <w:trHeight w:val="300"/>
        </w:trPr>
        <w:tc>
          <w:tcPr>
            <w:tcW w:w="5472" w:type="dxa"/>
          </w:tcPr>
          <w:p w14:paraId="75B7249C" w14:textId="66688390" w:rsidR="0038643B" w:rsidRPr="000E5331" w:rsidRDefault="0038643B" w:rsidP="0093074D">
            <w:pPr>
              <w:pStyle w:val="BodyText"/>
              <w:ind w:left="0"/>
            </w:pPr>
            <w:r w:rsidRPr="000E5331">
              <w:t>Graduation rates</w:t>
            </w:r>
          </w:p>
        </w:tc>
        <w:tc>
          <w:tcPr>
            <w:tcW w:w="3253" w:type="dxa"/>
          </w:tcPr>
          <w:p w14:paraId="0E045914" w14:textId="77777777" w:rsidR="0038643B" w:rsidRPr="000E5331" w:rsidRDefault="0038643B" w:rsidP="0093074D">
            <w:pPr>
              <w:pStyle w:val="BodyText"/>
            </w:pPr>
          </w:p>
        </w:tc>
      </w:tr>
      <w:tr w:rsidR="0038643B" w:rsidRPr="000E5331" w14:paraId="20913139" w14:textId="77777777" w:rsidTr="0093074D">
        <w:trPr>
          <w:trHeight w:val="300"/>
        </w:trPr>
        <w:tc>
          <w:tcPr>
            <w:tcW w:w="5472" w:type="dxa"/>
          </w:tcPr>
          <w:p w14:paraId="7CF0DB57" w14:textId="688DAA88" w:rsidR="0038643B" w:rsidRPr="000E5331" w:rsidRDefault="0038643B" w:rsidP="0093074D">
            <w:pPr>
              <w:pStyle w:val="BodyText"/>
              <w:ind w:left="0"/>
            </w:pPr>
            <w:r w:rsidRPr="000E5331">
              <w:t xml:space="preserve">Dropout rates </w:t>
            </w:r>
          </w:p>
        </w:tc>
        <w:tc>
          <w:tcPr>
            <w:tcW w:w="3253" w:type="dxa"/>
          </w:tcPr>
          <w:p w14:paraId="3F1B9789" w14:textId="77777777" w:rsidR="0038643B" w:rsidRPr="000E5331" w:rsidRDefault="0038643B" w:rsidP="0093074D">
            <w:pPr>
              <w:pStyle w:val="BodyText"/>
            </w:pPr>
          </w:p>
        </w:tc>
      </w:tr>
      <w:tr w:rsidR="00754F21" w:rsidRPr="000E5331" w14:paraId="08361DBB" w14:textId="77777777" w:rsidTr="0038643B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5E9E998C" w14:textId="269C3FD9" w:rsidR="00754F21" w:rsidRPr="000E5331" w:rsidRDefault="00754F21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Discipline 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0575832E" w14:textId="77777777" w:rsidR="00754F21" w:rsidRPr="000E5331" w:rsidRDefault="00754F21" w:rsidP="0093074D">
            <w:pPr>
              <w:pStyle w:val="BodyText"/>
              <w:rPr>
                <w:b/>
                <w:bCs/>
              </w:rPr>
            </w:pPr>
          </w:p>
        </w:tc>
      </w:tr>
      <w:tr w:rsidR="005C5096" w:rsidRPr="000E5331" w14:paraId="1DB29E3F" w14:textId="77777777" w:rsidTr="0093074D">
        <w:trPr>
          <w:trHeight w:val="300"/>
        </w:trPr>
        <w:tc>
          <w:tcPr>
            <w:tcW w:w="5472" w:type="dxa"/>
          </w:tcPr>
          <w:p w14:paraId="7A12CED7" w14:textId="1A34DF78" w:rsidR="005C5096" w:rsidRPr="000E5331" w:rsidRDefault="0038643B" w:rsidP="0093074D">
            <w:pPr>
              <w:pStyle w:val="BodyText"/>
              <w:ind w:left="0"/>
            </w:pPr>
            <w:r w:rsidRPr="000E5331">
              <w:t>Number and type of incidents (district, building)</w:t>
            </w:r>
          </w:p>
        </w:tc>
        <w:tc>
          <w:tcPr>
            <w:tcW w:w="3253" w:type="dxa"/>
          </w:tcPr>
          <w:p w14:paraId="3E960E62" w14:textId="77777777" w:rsidR="005C5096" w:rsidRPr="000E5331" w:rsidRDefault="005C5096" w:rsidP="0093074D">
            <w:pPr>
              <w:pStyle w:val="BodyText"/>
            </w:pPr>
          </w:p>
        </w:tc>
      </w:tr>
      <w:tr w:rsidR="0038643B" w:rsidRPr="000E5331" w14:paraId="6C40A004" w14:textId="77777777" w:rsidTr="0093074D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1E450306" w14:textId="070F822F" w:rsidR="0038643B" w:rsidRPr="000E5331" w:rsidRDefault="0038643B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Attendance and Mobility 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5891CBB4" w14:textId="77777777" w:rsidR="0038643B" w:rsidRPr="000E5331" w:rsidRDefault="0038643B" w:rsidP="0093074D">
            <w:pPr>
              <w:pStyle w:val="BodyText"/>
              <w:rPr>
                <w:b/>
                <w:bCs/>
              </w:rPr>
            </w:pPr>
          </w:p>
        </w:tc>
      </w:tr>
      <w:tr w:rsidR="005C5096" w:rsidRPr="000E5331" w14:paraId="5F069BC7" w14:textId="77777777" w:rsidTr="0093074D">
        <w:trPr>
          <w:trHeight w:val="300"/>
        </w:trPr>
        <w:tc>
          <w:tcPr>
            <w:tcW w:w="5472" w:type="dxa"/>
          </w:tcPr>
          <w:p w14:paraId="0DF7FD64" w14:textId="226D1235" w:rsidR="005C5096" w:rsidRPr="000E5331" w:rsidRDefault="0038643B" w:rsidP="0093074D">
            <w:pPr>
              <w:pStyle w:val="BodyText"/>
              <w:ind w:left="0"/>
            </w:pPr>
            <w:r w:rsidRPr="000E5331">
              <w:t>Attendance rate (district, building)</w:t>
            </w:r>
          </w:p>
        </w:tc>
        <w:tc>
          <w:tcPr>
            <w:tcW w:w="3253" w:type="dxa"/>
          </w:tcPr>
          <w:p w14:paraId="7DC08DA3" w14:textId="77777777" w:rsidR="005C5096" w:rsidRPr="000E5331" w:rsidRDefault="005C5096" w:rsidP="0093074D">
            <w:pPr>
              <w:pStyle w:val="BodyText"/>
            </w:pPr>
          </w:p>
        </w:tc>
      </w:tr>
      <w:tr w:rsidR="005C5096" w:rsidRPr="000E5331" w14:paraId="55E3F3DD" w14:textId="77777777" w:rsidTr="0093074D">
        <w:trPr>
          <w:trHeight w:val="300"/>
        </w:trPr>
        <w:tc>
          <w:tcPr>
            <w:tcW w:w="5472" w:type="dxa"/>
          </w:tcPr>
          <w:p w14:paraId="09A24898" w14:textId="12334E75" w:rsidR="005C5096" w:rsidRPr="000E5331" w:rsidRDefault="0038643B" w:rsidP="0093074D">
            <w:pPr>
              <w:pStyle w:val="BodyText"/>
              <w:ind w:left="0"/>
            </w:pPr>
            <w:r w:rsidRPr="000E5331">
              <w:t>Mobility rates</w:t>
            </w:r>
          </w:p>
        </w:tc>
        <w:tc>
          <w:tcPr>
            <w:tcW w:w="3253" w:type="dxa"/>
          </w:tcPr>
          <w:p w14:paraId="31C7B7D3" w14:textId="77777777" w:rsidR="005C5096" w:rsidRPr="000E5331" w:rsidRDefault="005C5096" w:rsidP="0093074D">
            <w:pPr>
              <w:pStyle w:val="BodyText"/>
            </w:pPr>
          </w:p>
        </w:tc>
      </w:tr>
      <w:tr w:rsidR="005C5096" w:rsidRPr="000E5331" w14:paraId="2948AE0E" w14:textId="77777777" w:rsidTr="0038643B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4426AD4B" w14:textId="5F9B5FF1" w:rsidR="005C5096" w:rsidRPr="000E5331" w:rsidRDefault="005C5096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Survey Data 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1AD2EFDD" w14:textId="77777777" w:rsidR="005C5096" w:rsidRPr="000E5331" w:rsidRDefault="005C5096" w:rsidP="0093074D">
            <w:pPr>
              <w:pStyle w:val="BodyText"/>
              <w:rPr>
                <w:b/>
                <w:bCs/>
              </w:rPr>
            </w:pPr>
          </w:p>
        </w:tc>
      </w:tr>
      <w:tr w:rsidR="005C5096" w:rsidRPr="000E5331" w14:paraId="3AF90C54" w14:textId="77777777" w:rsidTr="0093074D">
        <w:trPr>
          <w:trHeight w:val="300"/>
        </w:trPr>
        <w:tc>
          <w:tcPr>
            <w:tcW w:w="5472" w:type="dxa"/>
          </w:tcPr>
          <w:p w14:paraId="2630F463" w14:textId="636B5DF9" w:rsidR="005C5096" w:rsidRPr="000E5331" w:rsidRDefault="00754F21" w:rsidP="0093074D">
            <w:pPr>
              <w:pStyle w:val="BodyText"/>
              <w:ind w:left="0"/>
            </w:pPr>
            <w:r w:rsidRPr="000E5331">
              <w:t xml:space="preserve">Health risk behaviors among youth </w:t>
            </w:r>
            <w:r w:rsidR="005C5096" w:rsidRPr="000E5331">
              <w:t>that contribute</w:t>
            </w:r>
            <w:r w:rsidRPr="000E5331">
              <w:t xml:space="preserve"> </w:t>
            </w:r>
            <w:r w:rsidR="005C5096" w:rsidRPr="000E5331">
              <w:t xml:space="preserve">to violence, alcohol and drug use, tobacco use, sexual behaviors, etc.  </w:t>
            </w:r>
          </w:p>
        </w:tc>
        <w:tc>
          <w:tcPr>
            <w:tcW w:w="3253" w:type="dxa"/>
          </w:tcPr>
          <w:p w14:paraId="3F1C47BE" w14:textId="77777777" w:rsidR="005C5096" w:rsidRPr="000E5331" w:rsidRDefault="005C5096" w:rsidP="0093074D">
            <w:pPr>
              <w:pStyle w:val="BodyText"/>
            </w:pPr>
          </w:p>
        </w:tc>
      </w:tr>
      <w:tr w:rsidR="00635991" w:rsidRPr="000E5331" w14:paraId="0ED1670D" w14:textId="77777777" w:rsidTr="0038643B">
        <w:trPr>
          <w:trHeight w:val="300"/>
        </w:trPr>
        <w:tc>
          <w:tcPr>
            <w:tcW w:w="5472" w:type="dxa"/>
            <w:shd w:val="clear" w:color="auto" w:fill="F2F2F2" w:themeFill="background1" w:themeFillShade="F2"/>
          </w:tcPr>
          <w:p w14:paraId="6E2A0C62" w14:textId="70F7FC30" w:rsidR="00635991" w:rsidRPr="000E5331" w:rsidRDefault="00635991" w:rsidP="0093074D">
            <w:pPr>
              <w:pStyle w:val="BodyText"/>
              <w:ind w:left="0"/>
              <w:rPr>
                <w:b/>
                <w:bCs/>
              </w:rPr>
            </w:pPr>
            <w:r w:rsidRPr="000E5331">
              <w:rPr>
                <w:b/>
                <w:bCs/>
              </w:rPr>
              <w:t xml:space="preserve">Community Demographics 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14:paraId="5E2A10BF" w14:textId="77777777" w:rsidR="00635991" w:rsidRPr="000E5331" w:rsidRDefault="00635991" w:rsidP="0093074D">
            <w:pPr>
              <w:pStyle w:val="BodyText"/>
              <w:rPr>
                <w:b/>
                <w:bCs/>
              </w:rPr>
            </w:pPr>
          </w:p>
        </w:tc>
      </w:tr>
      <w:tr w:rsidR="0038643B" w:rsidRPr="000E5331" w14:paraId="7A960813" w14:textId="77777777" w:rsidTr="0093074D">
        <w:trPr>
          <w:trHeight w:val="300"/>
        </w:trPr>
        <w:tc>
          <w:tcPr>
            <w:tcW w:w="5472" w:type="dxa"/>
          </w:tcPr>
          <w:p w14:paraId="1BCE8080" w14:textId="0B1C3FAF" w:rsidR="0038643B" w:rsidRPr="000E5331" w:rsidRDefault="0038643B" w:rsidP="0093074D">
            <w:pPr>
              <w:pStyle w:val="BodyText"/>
              <w:ind w:left="0"/>
            </w:pPr>
            <w:r w:rsidRPr="000E5331">
              <w:t xml:space="preserve">Poverty rates (county, city) </w:t>
            </w:r>
          </w:p>
        </w:tc>
        <w:tc>
          <w:tcPr>
            <w:tcW w:w="3253" w:type="dxa"/>
          </w:tcPr>
          <w:p w14:paraId="5C24607A" w14:textId="77777777" w:rsidR="0038643B" w:rsidRPr="000E5331" w:rsidRDefault="0038643B" w:rsidP="0093074D">
            <w:pPr>
              <w:pStyle w:val="BodyText"/>
            </w:pPr>
          </w:p>
        </w:tc>
      </w:tr>
      <w:tr w:rsidR="0038643B" w:rsidRPr="000E5331" w14:paraId="1E277F9D" w14:textId="77777777" w:rsidTr="0093074D">
        <w:trPr>
          <w:trHeight w:val="300"/>
        </w:trPr>
        <w:tc>
          <w:tcPr>
            <w:tcW w:w="5472" w:type="dxa"/>
          </w:tcPr>
          <w:p w14:paraId="5574E665" w14:textId="595292D4" w:rsidR="0038643B" w:rsidRPr="000E5331" w:rsidRDefault="0038643B" w:rsidP="0093074D">
            <w:pPr>
              <w:pStyle w:val="BodyText"/>
              <w:ind w:left="0"/>
            </w:pPr>
            <w:r w:rsidRPr="000E5331">
              <w:t xml:space="preserve">Child poverty rates (county, city) </w:t>
            </w:r>
          </w:p>
        </w:tc>
        <w:tc>
          <w:tcPr>
            <w:tcW w:w="3253" w:type="dxa"/>
          </w:tcPr>
          <w:p w14:paraId="00B796F9" w14:textId="77777777" w:rsidR="0038643B" w:rsidRPr="000E5331" w:rsidRDefault="0038643B" w:rsidP="0093074D">
            <w:pPr>
              <w:pStyle w:val="BodyText"/>
            </w:pPr>
          </w:p>
        </w:tc>
      </w:tr>
      <w:tr w:rsidR="005C5096" w:rsidRPr="000E5331" w14:paraId="198AF69A" w14:textId="77777777" w:rsidTr="0093074D">
        <w:trPr>
          <w:trHeight w:val="300"/>
        </w:trPr>
        <w:tc>
          <w:tcPr>
            <w:tcW w:w="5472" w:type="dxa"/>
          </w:tcPr>
          <w:p w14:paraId="1E94C714" w14:textId="518E0480" w:rsidR="005C5096" w:rsidRPr="000E5331" w:rsidRDefault="005C5096" w:rsidP="0093074D">
            <w:pPr>
              <w:pStyle w:val="BodyText"/>
              <w:ind w:left="0"/>
            </w:pPr>
            <w:r w:rsidRPr="000E5331">
              <w:t xml:space="preserve">Violence and crime statistics </w:t>
            </w:r>
          </w:p>
        </w:tc>
        <w:tc>
          <w:tcPr>
            <w:tcW w:w="3253" w:type="dxa"/>
          </w:tcPr>
          <w:p w14:paraId="4CA60E9A" w14:textId="77777777" w:rsidR="005C5096" w:rsidRPr="000E5331" w:rsidRDefault="005C5096" w:rsidP="0093074D">
            <w:pPr>
              <w:pStyle w:val="BodyText"/>
            </w:pPr>
          </w:p>
        </w:tc>
      </w:tr>
      <w:tr w:rsidR="00635991" w:rsidRPr="000E5331" w14:paraId="195AE91B" w14:textId="77777777" w:rsidTr="0093074D">
        <w:trPr>
          <w:trHeight w:val="300"/>
        </w:trPr>
        <w:tc>
          <w:tcPr>
            <w:tcW w:w="5472" w:type="dxa"/>
          </w:tcPr>
          <w:p w14:paraId="0D4D9FAE" w14:textId="487330D4" w:rsidR="00635991" w:rsidRPr="000E5331" w:rsidRDefault="00635991" w:rsidP="0093074D">
            <w:pPr>
              <w:pStyle w:val="BodyText"/>
              <w:ind w:left="0"/>
            </w:pPr>
            <w:r w:rsidRPr="000E5331">
              <w:t xml:space="preserve">Substance use rates </w:t>
            </w:r>
          </w:p>
        </w:tc>
        <w:tc>
          <w:tcPr>
            <w:tcW w:w="3253" w:type="dxa"/>
          </w:tcPr>
          <w:p w14:paraId="75F37EF8" w14:textId="77777777" w:rsidR="00635991" w:rsidRPr="000E5331" w:rsidRDefault="00635991" w:rsidP="0093074D">
            <w:pPr>
              <w:pStyle w:val="BodyText"/>
            </w:pPr>
          </w:p>
        </w:tc>
      </w:tr>
      <w:tr w:rsidR="00635991" w:rsidRPr="000E5331" w14:paraId="00F37A11" w14:textId="77777777" w:rsidTr="0093074D">
        <w:trPr>
          <w:trHeight w:val="300"/>
        </w:trPr>
        <w:tc>
          <w:tcPr>
            <w:tcW w:w="5472" w:type="dxa"/>
          </w:tcPr>
          <w:p w14:paraId="71FC18A2" w14:textId="1627D2D0" w:rsidR="00635991" w:rsidRPr="000E5331" w:rsidRDefault="00635991" w:rsidP="0093074D">
            <w:pPr>
              <w:pStyle w:val="BodyText"/>
              <w:ind w:left="0"/>
            </w:pPr>
            <w:r w:rsidRPr="000E5331">
              <w:t>Mental illness rates</w:t>
            </w:r>
          </w:p>
        </w:tc>
        <w:tc>
          <w:tcPr>
            <w:tcW w:w="3253" w:type="dxa"/>
          </w:tcPr>
          <w:p w14:paraId="6F49E56D" w14:textId="77777777" w:rsidR="00635991" w:rsidRPr="000E5331" w:rsidRDefault="00635991" w:rsidP="0093074D">
            <w:pPr>
              <w:pStyle w:val="BodyText"/>
            </w:pPr>
          </w:p>
        </w:tc>
      </w:tr>
      <w:tr w:rsidR="00635991" w:rsidRPr="000E5331" w14:paraId="356B142B" w14:textId="77777777" w:rsidTr="0093074D">
        <w:trPr>
          <w:trHeight w:val="300"/>
        </w:trPr>
        <w:tc>
          <w:tcPr>
            <w:tcW w:w="5472" w:type="dxa"/>
          </w:tcPr>
          <w:p w14:paraId="096EF522" w14:textId="2F90CB7E" w:rsidR="00635991" w:rsidRPr="000E5331" w:rsidRDefault="0038643B" w:rsidP="0093074D">
            <w:pPr>
              <w:pStyle w:val="BodyText"/>
              <w:ind w:left="0"/>
            </w:pPr>
            <w:r w:rsidRPr="000E5331">
              <w:t xml:space="preserve">Rate of uninsured individuals </w:t>
            </w:r>
          </w:p>
        </w:tc>
        <w:tc>
          <w:tcPr>
            <w:tcW w:w="3253" w:type="dxa"/>
          </w:tcPr>
          <w:p w14:paraId="00BEDE84" w14:textId="77777777" w:rsidR="00635991" w:rsidRPr="000E5331" w:rsidRDefault="00635991" w:rsidP="0093074D">
            <w:pPr>
              <w:pStyle w:val="BodyText"/>
            </w:pPr>
          </w:p>
        </w:tc>
      </w:tr>
    </w:tbl>
    <w:p w14:paraId="29FDEADD" w14:textId="77777777" w:rsidR="00CB1599" w:rsidRDefault="00CB1599">
      <w:pPr>
        <w:rPr>
          <w:rFonts w:ascii="Calibri" w:eastAsia="Calibri" w:hAnsi="Calibri" w:cs="Calibri"/>
        </w:rPr>
      </w:pPr>
    </w:p>
    <w:sectPr w:rsidR="00CB1599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E2C9" w14:textId="77777777" w:rsidR="001F3AB9" w:rsidRDefault="001F3AB9">
      <w:pPr>
        <w:spacing w:line="240" w:lineRule="auto"/>
      </w:pPr>
      <w:r>
        <w:separator/>
      </w:r>
    </w:p>
  </w:endnote>
  <w:endnote w:type="continuationSeparator" w:id="0">
    <w:p w14:paraId="482B4F58" w14:textId="77777777" w:rsidR="001F3AB9" w:rsidRDefault="001F3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DC08" w14:textId="77777777" w:rsidR="00CB1599" w:rsidRDefault="00CB15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02C9" w14:textId="77777777" w:rsidR="001F3AB9" w:rsidRDefault="001F3AB9">
      <w:pPr>
        <w:spacing w:line="240" w:lineRule="auto"/>
      </w:pPr>
      <w:r>
        <w:separator/>
      </w:r>
    </w:p>
  </w:footnote>
  <w:footnote w:type="continuationSeparator" w:id="0">
    <w:p w14:paraId="24C4C257" w14:textId="77777777" w:rsidR="001F3AB9" w:rsidRDefault="001F3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2663" w14:textId="77777777" w:rsidR="00CB1599" w:rsidRDefault="00CB15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7EF6" w14:textId="77777777" w:rsidR="00CB1599" w:rsidRDefault="00000000">
    <w:pPr>
      <w:jc w:val="center"/>
    </w:pPr>
    <w:r>
      <w:rPr>
        <w:noProof/>
      </w:rPr>
      <w:drawing>
        <wp:inline distT="114300" distB="114300" distL="114300" distR="114300" wp14:anchorId="122C985B" wp14:editId="53DD9C2C">
          <wp:extent cx="3576638" cy="7107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6638" cy="710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F6B"/>
    <w:multiLevelType w:val="hybridMultilevel"/>
    <w:tmpl w:val="C3423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17C18"/>
    <w:multiLevelType w:val="hybridMultilevel"/>
    <w:tmpl w:val="CC0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0C85"/>
    <w:multiLevelType w:val="hybridMultilevel"/>
    <w:tmpl w:val="842A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879"/>
    <w:multiLevelType w:val="hybridMultilevel"/>
    <w:tmpl w:val="5242147A"/>
    <w:lvl w:ilvl="0" w:tplc="835A9A6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3300"/>
    <w:multiLevelType w:val="hybridMultilevel"/>
    <w:tmpl w:val="46FC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10283">
    <w:abstractNumId w:val="3"/>
  </w:num>
  <w:num w:numId="2" w16cid:durableId="1859661212">
    <w:abstractNumId w:val="1"/>
  </w:num>
  <w:num w:numId="3" w16cid:durableId="1587571805">
    <w:abstractNumId w:val="0"/>
  </w:num>
  <w:num w:numId="4" w16cid:durableId="1181505622">
    <w:abstractNumId w:val="4"/>
  </w:num>
  <w:num w:numId="5" w16cid:durableId="195613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99"/>
    <w:rsid w:val="000E5331"/>
    <w:rsid w:val="001F3AB9"/>
    <w:rsid w:val="00284B8A"/>
    <w:rsid w:val="002C752E"/>
    <w:rsid w:val="0038643B"/>
    <w:rsid w:val="005B0990"/>
    <w:rsid w:val="005C5096"/>
    <w:rsid w:val="00635991"/>
    <w:rsid w:val="00754F21"/>
    <w:rsid w:val="00AA4CCF"/>
    <w:rsid w:val="00AB6B93"/>
    <w:rsid w:val="00C930D8"/>
    <w:rsid w:val="00CB1599"/>
    <w:rsid w:val="00CE74F9"/>
    <w:rsid w:val="00E01B10"/>
    <w:rsid w:val="00E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E38B"/>
  <w15:docId w15:val="{F8D5AA12-1169-439E-9452-DD8332CC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Q_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aliases w:val="MQ_Subtitle,Subtitle 1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aliases w:val="MQ_List Paragraph,Bullet List"/>
    <w:basedOn w:val="Normal"/>
    <w:link w:val="ListParagraphChar"/>
    <w:qFormat/>
    <w:rsid w:val="00E56EF4"/>
    <w:pPr>
      <w:numPr>
        <w:numId w:val="1"/>
      </w:numPr>
      <w:spacing w:before="120" w:after="120" w:line="240" w:lineRule="auto"/>
      <w:contextualSpacing/>
    </w:pPr>
    <w:rPr>
      <w:rFonts w:ascii="Calibri Light" w:eastAsiaTheme="minorEastAsia" w:hAnsi="Calibri Light" w:cstheme="minorBidi"/>
      <w:lang w:val="en-US"/>
    </w:rPr>
  </w:style>
  <w:style w:type="paragraph" w:styleId="TOCHeading">
    <w:name w:val="TOC Heading"/>
    <w:aliases w:val="MQ_TOC Heading"/>
    <w:basedOn w:val="Heading1"/>
    <w:next w:val="Normal"/>
    <w:unhideWhenUsed/>
    <w:qFormat/>
    <w:rsid w:val="00E56EF4"/>
    <w:pPr>
      <w:spacing w:line="240" w:lineRule="auto"/>
      <w:outlineLvl w:val="9"/>
    </w:pPr>
    <w:rPr>
      <w:rFonts w:asciiTheme="majorHAnsi" w:eastAsiaTheme="majorEastAsia" w:hAnsiTheme="majorHAnsi" w:cstheme="majorBidi"/>
      <w:b/>
      <w:color w:val="4F81BD"/>
      <w:sz w:val="28"/>
      <w:szCs w:val="36"/>
      <w:lang w:val="en-US"/>
    </w:rPr>
  </w:style>
  <w:style w:type="character" w:styleId="Hyperlink">
    <w:name w:val="Hyperlink"/>
    <w:aliases w:val="MQ_Hyperlink"/>
    <w:basedOn w:val="DefaultParagraphFont"/>
    <w:unhideWhenUsed/>
    <w:qFormat/>
    <w:rsid w:val="00E56EF4"/>
    <w:rPr>
      <w:color w:val="4F81BD"/>
      <w:u w:val="single"/>
    </w:rPr>
  </w:style>
  <w:style w:type="character" w:customStyle="1" w:styleId="ListParagraphChar">
    <w:name w:val="List Paragraph Char"/>
    <w:aliases w:val="MQ_List Paragraph Char,Bullet List Char"/>
    <w:basedOn w:val="DefaultParagraphFont"/>
    <w:link w:val="ListParagraph"/>
    <w:rsid w:val="00E56EF4"/>
    <w:rPr>
      <w:rFonts w:ascii="Calibri Light" w:eastAsiaTheme="minorEastAsia" w:hAnsi="Calibri Light" w:cstheme="minorBidi"/>
      <w:lang w:val="en-US"/>
    </w:rPr>
  </w:style>
  <w:style w:type="table" w:styleId="TableGrid">
    <w:name w:val="Table Grid"/>
    <w:basedOn w:val="TableNormal"/>
    <w:uiPriority w:val="59"/>
    <w:rsid w:val="00E56EF4"/>
    <w:pPr>
      <w:spacing w:line="240" w:lineRule="auto"/>
    </w:pPr>
    <w:rPr>
      <w:rFonts w:asciiTheme="majorHAnsi" w:eastAsiaTheme="minorEastAsia" w:hAnsiTheme="maj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6EF4"/>
    <w:pPr>
      <w:widowControl w:val="0"/>
      <w:autoSpaceDE w:val="0"/>
      <w:autoSpaceDN w:val="0"/>
      <w:spacing w:line="240" w:lineRule="auto"/>
      <w:ind w:left="120" w:right="1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6E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aliases w:val="MQ_Title Char"/>
    <w:basedOn w:val="DefaultParagraphFont"/>
    <w:link w:val="Title"/>
    <w:uiPriority w:val="10"/>
    <w:rsid w:val="00E56EF4"/>
    <w:rPr>
      <w:sz w:val="52"/>
      <w:szCs w:val="52"/>
    </w:rPr>
  </w:style>
  <w:style w:type="character" w:customStyle="1" w:styleId="SubtitleChar">
    <w:name w:val="Subtitle Char"/>
    <w:aliases w:val="MQ_Subtitle Char,Subtitle 1 Char"/>
    <w:basedOn w:val="DefaultParagraphFont"/>
    <w:link w:val="Subtitle"/>
    <w:rsid w:val="00E56EF4"/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56EF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Julie Assel</cp:lastModifiedBy>
  <cp:revision>5</cp:revision>
  <dcterms:created xsi:type="dcterms:W3CDTF">2025-01-21T22:08:00Z</dcterms:created>
  <dcterms:modified xsi:type="dcterms:W3CDTF">2025-01-22T20:05:00Z</dcterms:modified>
</cp:coreProperties>
</file>